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D7E946" w14:textId="689D5879" w:rsidR="005C1FB7" w:rsidRPr="005C1FB7" w:rsidRDefault="005C1FB7" w:rsidP="005C1FB7">
      <w:pPr>
        <w:tabs>
          <w:tab w:val="clear" w:pos="454"/>
          <w:tab w:val="clear" w:pos="907"/>
          <w:tab w:val="clear" w:pos="1361"/>
          <w:tab w:val="clear" w:pos="1814"/>
          <w:tab w:val="clear" w:pos="2268"/>
        </w:tabs>
        <w:spacing w:after="0" w:line="660" w:lineRule="exact"/>
        <w:contextualSpacing/>
        <w:rPr>
          <w:color w:val="004D44" w:themeColor="text2"/>
          <w:lang w:val="en-IE"/>
        </w:rPr>
      </w:pPr>
      <w:r w:rsidRPr="005C1FB7">
        <w:rPr>
          <w:rFonts w:ascii="Calibri Light" w:eastAsia="DengXian Light" w:hAnsi="Calibri Light" w:cs="Calibri Light"/>
          <w:b/>
          <w:bCs/>
          <w:color w:val="004E46"/>
          <w:kern w:val="28"/>
          <w:sz w:val="52"/>
          <w:szCs w:val="52"/>
          <w:lang w:val="en-IE"/>
        </w:rPr>
        <w:t xml:space="preserve">Public </w:t>
      </w:r>
      <w:r w:rsidRPr="005C1FB7">
        <w:rPr>
          <w:rFonts w:ascii="Calibri Light" w:eastAsia="DengXian Light" w:hAnsi="Calibri Light" w:cs="Calibri Light"/>
          <w:b/>
          <w:bCs/>
          <w:color w:val="004D44" w:themeColor="text2"/>
          <w:kern w:val="28"/>
          <w:sz w:val="52"/>
          <w:szCs w:val="52"/>
          <w:lang w:val="en-IE"/>
        </w:rPr>
        <w:t>Consultation</w:t>
      </w:r>
      <w:r w:rsidRPr="005C1FB7">
        <w:rPr>
          <w:rFonts w:ascii="Calibri Light" w:eastAsia="DengXian Light" w:hAnsi="Calibri Light" w:cs="Calibri Light"/>
          <w:b/>
          <w:bCs/>
          <w:color w:val="004E46"/>
          <w:kern w:val="28"/>
          <w:sz w:val="52"/>
          <w:szCs w:val="52"/>
          <w:lang w:val="en-IE"/>
        </w:rPr>
        <w:t xml:space="preserve"> on the transposition of Directive (EU) 2021/2101 amending Directive 2013/34/EU </w:t>
      </w:r>
      <w:r w:rsidRPr="005C1FB7">
        <w:rPr>
          <w:rFonts w:ascii="Calibri Light" w:eastAsia="Calibri" w:hAnsi="Calibri Light" w:cs="Calibri Light"/>
          <w:color w:val="004D44" w:themeColor="text2"/>
          <w:sz w:val="38"/>
          <w:szCs w:val="38"/>
          <w:shd w:val="clear" w:color="auto" w:fill="FFFFFF"/>
        </w:rPr>
        <w:t>as regards disclosure of income tax information by certain undertakings and branches</w:t>
      </w:r>
    </w:p>
    <w:p w14:paraId="499699C8" w14:textId="77777777" w:rsidR="005C1FB7" w:rsidRPr="005C1FB7" w:rsidRDefault="005C1FB7" w:rsidP="005C1FB7">
      <w:pPr>
        <w:rPr>
          <w:lang w:val="en-IE"/>
        </w:rPr>
      </w:pPr>
    </w:p>
    <w:p w14:paraId="7BC8296B" w14:textId="77777777" w:rsidR="005C1FB7" w:rsidRPr="00316B56" w:rsidRDefault="005C1FB7" w:rsidP="005C1FB7">
      <w:pPr>
        <w:pStyle w:val="Subtitle"/>
        <w:spacing w:line="276" w:lineRule="auto"/>
        <w:rPr>
          <w:b/>
          <w:sz w:val="28"/>
          <w:szCs w:val="28"/>
          <w:lang w:val="en-IE"/>
        </w:rPr>
      </w:pPr>
      <w:r w:rsidRPr="00316B56">
        <w:rPr>
          <w:b/>
          <w:sz w:val="28"/>
          <w:szCs w:val="28"/>
          <w:lang w:val="en-IE"/>
        </w:rPr>
        <w:t>Response Template</w:t>
      </w:r>
    </w:p>
    <w:p w14:paraId="43FDA811" w14:textId="213B5211" w:rsidR="00FB1C79" w:rsidRPr="00D76841" w:rsidRDefault="00FB1C79" w:rsidP="00D76841">
      <w:pPr>
        <w:pStyle w:val="Subtitle"/>
        <w:rPr>
          <w:shd w:val="clear" w:color="auto" w:fill="FFFFFF"/>
        </w:rPr>
      </w:pPr>
      <w:r>
        <w:rPr>
          <w:lang w:val="en-IE"/>
        </w:rPr>
        <w:br w:type="page"/>
      </w:r>
    </w:p>
    <w:p w14:paraId="12FA5D95" w14:textId="75AFBA08" w:rsidR="005C1FB7" w:rsidRDefault="005C1FB7" w:rsidP="008246D7">
      <w:pPr>
        <w:ind w:left="-567"/>
        <w:jc w:val="both"/>
        <w:rPr>
          <w:rFonts w:cs="Arial"/>
          <w:szCs w:val="21"/>
          <w:lang w:val="en-IE"/>
        </w:rPr>
      </w:pPr>
      <w:r>
        <w:rPr>
          <w:rFonts w:cs="Arial"/>
          <w:szCs w:val="21"/>
          <w:lang w:val="en-IE"/>
        </w:rPr>
        <w:lastRenderedPageBreak/>
        <w:t xml:space="preserve">As set out in the consultation, the Department of Enterprise, Trade and Employment is specifically seeking views on the Member State options </w:t>
      </w:r>
      <w:r w:rsidR="001209F5">
        <w:rPr>
          <w:rFonts w:cs="Arial"/>
          <w:szCs w:val="21"/>
          <w:lang w:val="en-IE"/>
        </w:rPr>
        <w:t>provided in Articles 48</w:t>
      </w:r>
      <w:proofErr w:type="gramStart"/>
      <w:r w:rsidR="001209F5">
        <w:rPr>
          <w:rFonts w:cs="Arial"/>
          <w:szCs w:val="21"/>
          <w:lang w:val="en-IE"/>
        </w:rPr>
        <w:t>c(</w:t>
      </w:r>
      <w:proofErr w:type="gramEnd"/>
      <w:r w:rsidR="001209F5">
        <w:rPr>
          <w:rFonts w:cs="Arial"/>
          <w:szCs w:val="21"/>
          <w:lang w:val="en-IE"/>
        </w:rPr>
        <w:t xml:space="preserve">6) and 48d(3) of </w:t>
      </w:r>
      <w:r>
        <w:rPr>
          <w:rFonts w:cs="Arial"/>
          <w:szCs w:val="21"/>
          <w:lang w:val="en-IE"/>
        </w:rPr>
        <w:t xml:space="preserve">Directive 2021/2101. </w:t>
      </w:r>
    </w:p>
    <w:p w14:paraId="3928380B" w14:textId="45BE89E1" w:rsidR="005C1FB7" w:rsidRDefault="005C1FB7" w:rsidP="008246D7">
      <w:pPr>
        <w:ind w:left="-567"/>
        <w:jc w:val="both"/>
        <w:rPr>
          <w:rFonts w:cs="Arial"/>
          <w:szCs w:val="21"/>
          <w:lang w:val="en-IE"/>
        </w:rPr>
      </w:pPr>
      <w:r>
        <w:rPr>
          <w:rFonts w:cs="Arial"/>
          <w:szCs w:val="21"/>
          <w:lang w:val="en-IE"/>
        </w:rPr>
        <w:t xml:space="preserve">Respondents </w:t>
      </w:r>
      <w:proofErr w:type="gramStart"/>
      <w:r w:rsidR="001209F5">
        <w:rPr>
          <w:rFonts w:cs="Arial"/>
          <w:szCs w:val="21"/>
          <w:lang w:val="en-IE"/>
        </w:rPr>
        <w:t>have the opportunity to</w:t>
      </w:r>
      <w:proofErr w:type="gramEnd"/>
      <w:r w:rsidR="001209F5">
        <w:rPr>
          <w:rFonts w:cs="Arial"/>
          <w:szCs w:val="21"/>
          <w:lang w:val="en-IE"/>
        </w:rPr>
        <w:t xml:space="preserve"> </w:t>
      </w:r>
      <w:r>
        <w:rPr>
          <w:rFonts w:cs="Arial"/>
          <w:szCs w:val="21"/>
          <w:lang w:val="en-IE"/>
        </w:rPr>
        <w:t>comment generally on the Directive at the end of the template and express any views on other specific articles of the Directive should they wish.</w:t>
      </w:r>
    </w:p>
    <w:p w14:paraId="48EA4A14" w14:textId="4F1695E5" w:rsidR="005C1FB7" w:rsidRDefault="005C1FB7" w:rsidP="008246D7">
      <w:pPr>
        <w:pStyle w:val="Normal2Column"/>
        <w:ind w:left="-567"/>
        <w:jc w:val="both"/>
      </w:pPr>
      <w:r>
        <w:t xml:space="preserve">Please include your response in the space underneath the relevant option, to set out/ explain your views. Completing the template will assist with achieving a consistent approach in responses returned and facilitate collation of responses. </w:t>
      </w:r>
    </w:p>
    <w:p w14:paraId="5F28AF7D" w14:textId="77777777" w:rsidR="005C1FB7" w:rsidRDefault="005C1FB7" w:rsidP="008246D7">
      <w:pPr>
        <w:pStyle w:val="Normal2Column"/>
        <w:ind w:left="-567"/>
        <w:jc w:val="both"/>
      </w:pPr>
      <w:r>
        <w:t xml:space="preserve">When responding please indicate whether you are providing views as an individual or representing the views of an organisation. </w:t>
      </w:r>
    </w:p>
    <w:p w14:paraId="36E14087" w14:textId="77777777" w:rsidR="005C1FB7" w:rsidRDefault="005C1FB7" w:rsidP="005C1FB7">
      <w:pPr>
        <w:pStyle w:val="Normal2Column"/>
        <w:jc w:val="both"/>
      </w:pPr>
    </w:p>
    <w:tbl>
      <w:tblPr>
        <w:tblStyle w:val="TableGrid"/>
        <w:tblW w:w="0" w:type="auto"/>
        <w:tblInd w:w="-510" w:type="dxa"/>
        <w:tblLook w:val="04A0" w:firstRow="1" w:lastRow="0" w:firstColumn="1" w:lastColumn="0" w:noHBand="0" w:noVBand="1"/>
      </w:tblPr>
      <w:tblGrid>
        <w:gridCol w:w="2405"/>
        <w:gridCol w:w="6203"/>
      </w:tblGrid>
      <w:tr w:rsidR="005C1FB7" w14:paraId="295A86A0" w14:textId="77777777" w:rsidTr="008246D7">
        <w:tc>
          <w:tcPr>
            <w:tcW w:w="2405" w:type="dxa"/>
            <w:tcBorders>
              <w:top w:val="single" w:sz="4" w:space="0" w:color="auto"/>
              <w:left w:val="single" w:sz="4" w:space="0" w:color="auto"/>
              <w:bottom w:val="single" w:sz="4" w:space="0" w:color="auto"/>
              <w:right w:val="single" w:sz="4" w:space="0" w:color="auto"/>
            </w:tcBorders>
            <w:hideMark/>
          </w:tcPr>
          <w:p w14:paraId="7A754704" w14:textId="77777777" w:rsidR="005C1FB7" w:rsidRDefault="005C1FB7" w:rsidP="0077282B">
            <w:pPr>
              <w:pStyle w:val="Normal2Column"/>
              <w:jc w:val="both"/>
            </w:pPr>
            <w:r>
              <w:t>Name(s):</w:t>
            </w:r>
          </w:p>
        </w:tc>
        <w:tc>
          <w:tcPr>
            <w:tcW w:w="6203" w:type="dxa"/>
            <w:tcBorders>
              <w:top w:val="single" w:sz="4" w:space="0" w:color="auto"/>
              <w:left w:val="single" w:sz="4" w:space="0" w:color="auto"/>
              <w:bottom w:val="single" w:sz="4" w:space="0" w:color="auto"/>
              <w:right w:val="single" w:sz="4" w:space="0" w:color="auto"/>
            </w:tcBorders>
          </w:tcPr>
          <w:p w14:paraId="00326BB4" w14:textId="77777777" w:rsidR="005C1FB7" w:rsidRDefault="005C1FB7" w:rsidP="0077282B">
            <w:pPr>
              <w:pStyle w:val="Normal2Column"/>
              <w:jc w:val="both"/>
            </w:pPr>
          </w:p>
        </w:tc>
      </w:tr>
      <w:tr w:rsidR="005C1FB7" w14:paraId="2D7B5FEA" w14:textId="77777777" w:rsidTr="008246D7">
        <w:tc>
          <w:tcPr>
            <w:tcW w:w="2405" w:type="dxa"/>
            <w:tcBorders>
              <w:top w:val="single" w:sz="4" w:space="0" w:color="auto"/>
              <w:left w:val="single" w:sz="4" w:space="0" w:color="auto"/>
              <w:bottom w:val="single" w:sz="4" w:space="0" w:color="auto"/>
              <w:right w:val="single" w:sz="4" w:space="0" w:color="auto"/>
            </w:tcBorders>
            <w:hideMark/>
          </w:tcPr>
          <w:p w14:paraId="10EB5E61" w14:textId="77777777" w:rsidR="005C1FB7" w:rsidRDefault="005C1FB7" w:rsidP="0077282B">
            <w:pPr>
              <w:pStyle w:val="Normal2Column"/>
              <w:jc w:val="both"/>
            </w:pPr>
            <w:r>
              <w:t>Organisation:</w:t>
            </w:r>
          </w:p>
        </w:tc>
        <w:tc>
          <w:tcPr>
            <w:tcW w:w="6203" w:type="dxa"/>
            <w:tcBorders>
              <w:top w:val="single" w:sz="4" w:space="0" w:color="auto"/>
              <w:left w:val="single" w:sz="4" w:space="0" w:color="auto"/>
              <w:bottom w:val="single" w:sz="4" w:space="0" w:color="auto"/>
              <w:right w:val="single" w:sz="4" w:space="0" w:color="auto"/>
            </w:tcBorders>
          </w:tcPr>
          <w:p w14:paraId="30905E38" w14:textId="77777777" w:rsidR="005C1FB7" w:rsidRDefault="005C1FB7" w:rsidP="0077282B">
            <w:pPr>
              <w:pStyle w:val="Normal2Column"/>
              <w:jc w:val="both"/>
            </w:pPr>
          </w:p>
        </w:tc>
      </w:tr>
      <w:tr w:rsidR="005C1FB7" w14:paraId="2A9A0CF6" w14:textId="77777777" w:rsidTr="008246D7">
        <w:tc>
          <w:tcPr>
            <w:tcW w:w="2405" w:type="dxa"/>
            <w:tcBorders>
              <w:top w:val="single" w:sz="4" w:space="0" w:color="auto"/>
              <w:left w:val="single" w:sz="4" w:space="0" w:color="auto"/>
              <w:bottom w:val="single" w:sz="4" w:space="0" w:color="auto"/>
              <w:right w:val="single" w:sz="4" w:space="0" w:color="auto"/>
            </w:tcBorders>
            <w:hideMark/>
          </w:tcPr>
          <w:p w14:paraId="711B581D" w14:textId="77777777" w:rsidR="005C1FB7" w:rsidRDefault="005C1FB7" w:rsidP="0077282B">
            <w:pPr>
              <w:pStyle w:val="Normal2Column"/>
              <w:jc w:val="both"/>
            </w:pPr>
            <w:r>
              <w:t>Email address:</w:t>
            </w:r>
          </w:p>
        </w:tc>
        <w:tc>
          <w:tcPr>
            <w:tcW w:w="6203" w:type="dxa"/>
            <w:tcBorders>
              <w:top w:val="single" w:sz="4" w:space="0" w:color="auto"/>
              <w:left w:val="single" w:sz="4" w:space="0" w:color="auto"/>
              <w:bottom w:val="single" w:sz="4" w:space="0" w:color="auto"/>
              <w:right w:val="single" w:sz="4" w:space="0" w:color="auto"/>
            </w:tcBorders>
          </w:tcPr>
          <w:p w14:paraId="41105502" w14:textId="77777777" w:rsidR="005C1FB7" w:rsidRDefault="005C1FB7" w:rsidP="0077282B">
            <w:pPr>
              <w:pStyle w:val="Normal2Column"/>
              <w:jc w:val="both"/>
            </w:pPr>
          </w:p>
        </w:tc>
      </w:tr>
      <w:tr w:rsidR="005C1FB7" w14:paraId="7712381A" w14:textId="77777777" w:rsidTr="008246D7">
        <w:tc>
          <w:tcPr>
            <w:tcW w:w="2405" w:type="dxa"/>
            <w:tcBorders>
              <w:top w:val="single" w:sz="4" w:space="0" w:color="auto"/>
              <w:left w:val="single" w:sz="4" w:space="0" w:color="auto"/>
              <w:bottom w:val="single" w:sz="4" w:space="0" w:color="auto"/>
              <w:right w:val="single" w:sz="4" w:space="0" w:color="auto"/>
            </w:tcBorders>
            <w:hideMark/>
          </w:tcPr>
          <w:p w14:paraId="72F00E09" w14:textId="77777777" w:rsidR="005C1FB7" w:rsidRDefault="005C1FB7" w:rsidP="0077282B">
            <w:pPr>
              <w:pStyle w:val="Normal2Column"/>
              <w:jc w:val="both"/>
            </w:pPr>
            <w:r>
              <w:t>Telephone number:</w:t>
            </w:r>
          </w:p>
        </w:tc>
        <w:tc>
          <w:tcPr>
            <w:tcW w:w="6203" w:type="dxa"/>
            <w:tcBorders>
              <w:top w:val="single" w:sz="4" w:space="0" w:color="auto"/>
              <w:left w:val="single" w:sz="4" w:space="0" w:color="auto"/>
              <w:bottom w:val="single" w:sz="4" w:space="0" w:color="auto"/>
              <w:right w:val="single" w:sz="4" w:space="0" w:color="auto"/>
            </w:tcBorders>
          </w:tcPr>
          <w:p w14:paraId="7E5752D9" w14:textId="77777777" w:rsidR="005C1FB7" w:rsidRDefault="005C1FB7" w:rsidP="0077282B">
            <w:pPr>
              <w:pStyle w:val="Normal2Column"/>
              <w:jc w:val="both"/>
            </w:pPr>
          </w:p>
        </w:tc>
      </w:tr>
    </w:tbl>
    <w:p w14:paraId="10FF4598" w14:textId="77777777" w:rsidR="005C1FB7" w:rsidRDefault="005C1FB7" w:rsidP="005C1FB7"/>
    <w:p w14:paraId="157A41FD" w14:textId="77777777" w:rsidR="005F2CA4" w:rsidRDefault="005C1FB7" w:rsidP="00221890">
      <w:pPr>
        <w:pStyle w:val="Normal2Column"/>
        <w:ind w:left="-567"/>
        <w:jc w:val="both"/>
      </w:pPr>
      <w:r>
        <w:t xml:space="preserve">Respondents are requested to return their completed templates by email to </w:t>
      </w:r>
      <w:hyperlink r:id="rId13" w:history="1">
        <w:r w:rsidRPr="00526926">
          <w:rPr>
            <w:rStyle w:val="Hyperlink"/>
          </w:rPr>
          <w:t>companylawconsultation@enterprise.gov.ie</w:t>
        </w:r>
      </w:hyperlink>
      <w:r>
        <w:t xml:space="preserve"> by the closing date of </w:t>
      </w:r>
      <w:r>
        <w:rPr>
          <w:b/>
          <w:bCs/>
        </w:rPr>
        <w:t xml:space="preserve">Friday 18 February </w:t>
      </w:r>
      <w:r w:rsidR="00C321D7">
        <w:rPr>
          <w:b/>
          <w:bCs/>
        </w:rPr>
        <w:t>2022</w:t>
      </w:r>
      <w:r w:rsidR="00C321D7">
        <w:t xml:space="preserve"> </w:t>
      </w:r>
    </w:p>
    <w:p w14:paraId="0C1DFD3D" w14:textId="20847B48" w:rsidR="001209F5" w:rsidRDefault="00C321D7" w:rsidP="00221890">
      <w:pPr>
        <w:pStyle w:val="Normal2Column"/>
        <w:ind w:left="-567"/>
        <w:jc w:val="both"/>
      </w:pPr>
      <w:r>
        <w:t>Hardcopy</w:t>
      </w:r>
      <w:r w:rsidR="005C1FB7">
        <w:t xml:space="preserve"> submissions are not being received at this time due to remote working. </w:t>
      </w:r>
    </w:p>
    <w:p w14:paraId="4518807A" w14:textId="654F0A1D" w:rsidR="005C1FB7" w:rsidRDefault="005C1FB7" w:rsidP="00221890">
      <w:pPr>
        <w:pStyle w:val="Normal2Column"/>
        <w:ind w:left="-567"/>
        <w:jc w:val="both"/>
      </w:pPr>
      <w:r>
        <w:t>Please mark your submission as ‘response to Public Consultation on the Transposition of Directive (EU) 2021/2101’.</w:t>
      </w:r>
    </w:p>
    <w:p w14:paraId="7BAF527C" w14:textId="0FFC5D3B" w:rsidR="005C1FB7" w:rsidRDefault="005C1FB7" w:rsidP="005C1FB7">
      <w:pPr>
        <w:pStyle w:val="Normal2Column"/>
        <w:ind w:left="720"/>
        <w:jc w:val="both"/>
        <w:rPr>
          <w:rFonts w:cs="Arial"/>
          <w:lang w:val="en-IE"/>
        </w:rPr>
      </w:pPr>
    </w:p>
    <w:p w14:paraId="5F914F69" w14:textId="64A06B13" w:rsidR="005C1FB7" w:rsidRDefault="005C1FB7" w:rsidP="005C1FB7">
      <w:pPr>
        <w:pStyle w:val="Normal2Column"/>
        <w:ind w:left="720"/>
        <w:jc w:val="both"/>
        <w:rPr>
          <w:rFonts w:cs="Arial"/>
          <w:lang w:val="en-IE"/>
        </w:rPr>
      </w:pPr>
    </w:p>
    <w:p w14:paraId="7938A25F" w14:textId="0CBA1AFD" w:rsidR="005C1FB7" w:rsidRDefault="005C1FB7" w:rsidP="005C1FB7">
      <w:pPr>
        <w:pStyle w:val="Normal2Column"/>
        <w:ind w:left="720"/>
        <w:jc w:val="both"/>
        <w:rPr>
          <w:rFonts w:cs="Arial"/>
          <w:lang w:val="en-IE"/>
        </w:rPr>
      </w:pPr>
    </w:p>
    <w:p w14:paraId="5AAA14C8" w14:textId="49EC1153" w:rsidR="005C1FB7" w:rsidRDefault="005C1FB7" w:rsidP="005C1FB7">
      <w:pPr>
        <w:pStyle w:val="Normal2Column"/>
        <w:ind w:left="720"/>
        <w:jc w:val="both"/>
        <w:rPr>
          <w:rFonts w:cs="Arial"/>
          <w:lang w:val="en-IE"/>
        </w:rPr>
      </w:pPr>
    </w:p>
    <w:p w14:paraId="006180BC" w14:textId="37946F22" w:rsidR="005C1FB7" w:rsidRDefault="005C1FB7" w:rsidP="005C1FB7">
      <w:pPr>
        <w:pStyle w:val="Normal2Column"/>
        <w:ind w:left="720"/>
        <w:jc w:val="both"/>
        <w:rPr>
          <w:rFonts w:cs="Arial"/>
          <w:lang w:val="en-IE"/>
        </w:rPr>
      </w:pPr>
    </w:p>
    <w:p w14:paraId="54784617" w14:textId="2525C74F" w:rsidR="005C1FB7" w:rsidRDefault="005C1FB7" w:rsidP="005C1FB7">
      <w:pPr>
        <w:pStyle w:val="Normal2Column"/>
        <w:ind w:left="720"/>
        <w:jc w:val="both"/>
        <w:rPr>
          <w:rFonts w:cs="Arial"/>
          <w:lang w:val="en-IE"/>
        </w:rPr>
      </w:pPr>
    </w:p>
    <w:p w14:paraId="355BEB34" w14:textId="225B0B00" w:rsidR="005C1FB7" w:rsidRDefault="005C1FB7" w:rsidP="005C1FB7">
      <w:pPr>
        <w:pStyle w:val="Normal2Column"/>
        <w:ind w:left="720"/>
        <w:jc w:val="both"/>
        <w:rPr>
          <w:rFonts w:cs="Arial"/>
          <w:lang w:val="en-IE"/>
        </w:rPr>
      </w:pPr>
    </w:p>
    <w:p w14:paraId="33E9C9EC" w14:textId="36540BFE" w:rsidR="005C1FB7" w:rsidRDefault="005C1FB7" w:rsidP="005C1FB7">
      <w:pPr>
        <w:pStyle w:val="Normal2Column"/>
        <w:ind w:left="720"/>
        <w:jc w:val="both"/>
        <w:rPr>
          <w:rFonts w:cs="Arial"/>
          <w:lang w:val="en-IE"/>
        </w:rPr>
      </w:pPr>
    </w:p>
    <w:p w14:paraId="515CDCE6" w14:textId="72934449" w:rsidR="0041411B" w:rsidRDefault="0041411B" w:rsidP="005C1FB7">
      <w:pPr>
        <w:pStyle w:val="Normal2Column"/>
        <w:ind w:left="720"/>
        <w:jc w:val="both"/>
        <w:rPr>
          <w:rFonts w:cs="Arial"/>
          <w:lang w:val="en-IE"/>
        </w:rPr>
      </w:pPr>
    </w:p>
    <w:p w14:paraId="16AF9178" w14:textId="686C6043" w:rsidR="0041411B" w:rsidRDefault="0041411B" w:rsidP="005C1FB7">
      <w:pPr>
        <w:pStyle w:val="Normal2Column"/>
        <w:ind w:left="720"/>
        <w:jc w:val="both"/>
        <w:rPr>
          <w:rFonts w:cs="Arial"/>
          <w:lang w:val="en-IE"/>
        </w:rPr>
      </w:pPr>
    </w:p>
    <w:p w14:paraId="20B5E8F9" w14:textId="77777777" w:rsidR="0041411B" w:rsidRDefault="0041411B" w:rsidP="005C1FB7">
      <w:pPr>
        <w:pStyle w:val="Normal2Column"/>
        <w:ind w:left="720"/>
        <w:jc w:val="both"/>
        <w:rPr>
          <w:rFonts w:cs="Arial"/>
          <w:lang w:val="en-IE"/>
        </w:rPr>
      </w:pPr>
    </w:p>
    <w:tbl>
      <w:tblPr>
        <w:tblStyle w:val="TableGrid"/>
        <w:tblW w:w="0" w:type="auto"/>
        <w:tblInd w:w="-856" w:type="dxa"/>
        <w:tblLook w:val="04A0" w:firstRow="1" w:lastRow="0" w:firstColumn="1" w:lastColumn="0" w:noHBand="0" w:noVBand="1"/>
      </w:tblPr>
      <w:tblGrid>
        <w:gridCol w:w="9464"/>
      </w:tblGrid>
      <w:tr w:rsidR="00207301" w:rsidRPr="00207301" w14:paraId="56387050" w14:textId="77777777" w:rsidTr="00DA21DA">
        <w:tc>
          <w:tcPr>
            <w:tcW w:w="9464" w:type="dxa"/>
          </w:tcPr>
          <w:p w14:paraId="6F1B53C6" w14:textId="3B7DD22C" w:rsidR="00207301" w:rsidRDefault="00207301" w:rsidP="00044BC0">
            <w:pPr>
              <w:pStyle w:val="Normal2Column"/>
              <w:rPr>
                <w:rFonts w:cs="Arial"/>
                <w:b/>
                <w:bCs/>
                <w:szCs w:val="21"/>
                <w:lang w:val="en-IE"/>
              </w:rPr>
            </w:pPr>
            <w:r w:rsidRPr="00207301">
              <w:rPr>
                <w:rFonts w:cs="Arial"/>
                <w:szCs w:val="21"/>
                <w:lang w:val="en-IE"/>
              </w:rPr>
              <w:lastRenderedPageBreak/>
              <w:t>Article 48c (6) –</w:t>
            </w:r>
            <w:r w:rsidRPr="00207301">
              <w:rPr>
                <w:rFonts w:cs="Arial"/>
                <w:b/>
                <w:bCs/>
                <w:szCs w:val="21"/>
                <w:lang w:val="en-IE"/>
              </w:rPr>
              <w:t xml:space="preserve"> Content of the Report on tax information </w:t>
            </w:r>
          </w:p>
          <w:p w14:paraId="35D1D74D" w14:textId="77777777" w:rsidR="0041411B" w:rsidRPr="0041411B" w:rsidRDefault="0041411B" w:rsidP="00221890">
            <w:pPr>
              <w:pStyle w:val="Default"/>
              <w:jc w:val="both"/>
              <w:rPr>
                <w:rFonts w:ascii="Arial" w:hAnsi="Arial" w:cs="Arial"/>
                <w:i/>
                <w:iCs/>
                <w:sz w:val="21"/>
                <w:szCs w:val="21"/>
              </w:rPr>
            </w:pPr>
            <w:r w:rsidRPr="0041411B">
              <w:rPr>
                <w:rFonts w:ascii="Arial" w:hAnsi="Arial" w:cs="Arial"/>
                <w:i/>
                <w:iCs/>
                <w:sz w:val="21"/>
                <w:szCs w:val="21"/>
              </w:rPr>
              <w:t>Member States may allow for one or more specific items of information otherwise required to be disclosed in accordance with paragraph 2 or 3 to be temporarily omitted from the report where their disclosure would be seriously prejudicial to the commercial position of the undertakings to which the report relates. Any omission shall be clearly indicated in the report together with a duly reasoned explanation regarding the reasons therefor.</w:t>
            </w:r>
          </w:p>
          <w:p w14:paraId="1FC4B95E" w14:textId="77777777" w:rsidR="0041411B" w:rsidRDefault="0041411B" w:rsidP="00221890">
            <w:pPr>
              <w:pStyle w:val="Default"/>
              <w:jc w:val="both"/>
              <w:rPr>
                <w:rFonts w:ascii="Arial" w:hAnsi="Arial" w:cs="Arial"/>
                <w:i/>
                <w:iCs/>
                <w:sz w:val="21"/>
                <w:szCs w:val="21"/>
              </w:rPr>
            </w:pPr>
            <w:r w:rsidRPr="0041411B">
              <w:rPr>
                <w:rFonts w:ascii="Arial" w:hAnsi="Arial" w:cs="Arial"/>
                <w:i/>
                <w:iCs/>
                <w:sz w:val="21"/>
                <w:szCs w:val="21"/>
              </w:rPr>
              <w:t>Member States shall ensure that all information omitted pursuant to the first subparagraph is made public in a later report on income tax information, within no more than five years of the date of its original omission.</w:t>
            </w:r>
          </w:p>
          <w:p w14:paraId="452FCF81" w14:textId="11485A81" w:rsidR="0041411B" w:rsidRPr="0041411B" w:rsidRDefault="0041411B" w:rsidP="0041411B">
            <w:pPr>
              <w:pStyle w:val="Default"/>
              <w:rPr>
                <w:rFonts w:ascii="Arial" w:hAnsi="Arial" w:cs="Arial"/>
                <w:i/>
                <w:iCs/>
                <w:sz w:val="21"/>
                <w:szCs w:val="21"/>
              </w:rPr>
            </w:pPr>
          </w:p>
        </w:tc>
      </w:tr>
      <w:tr w:rsidR="00207301" w:rsidRPr="00207301" w14:paraId="1129CFE2" w14:textId="77777777" w:rsidTr="00DA21DA">
        <w:tc>
          <w:tcPr>
            <w:tcW w:w="9464" w:type="dxa"/>
          </w:tcPr>
          <w:p w14:paraId="4F0CCEB4" w14:textId="1936CBC8" w:rsidR="00C321D7" w:rsidRPr="00C321D7" w:rsidRDefault="00207301" w:rsidP="00221890">
            <w:pPr>
              <w:spacing w:line="240" w:lineRule="auto"/>
              <w:jc w:val="both"/>
              <w:rPr>
                <w:rFonts w:cs="Arial"/>
                <w:szCs w:val="21"/>
              </w:rPr>
            </w:pPr>
            <w:r w:rsidRPr="00207301">
              <w:rPr>
                <w:rFonts w:cs="Arial"/>
                <w:szCs w:val="21"/>
              </w:rPr>
              <w:t xml:space="preserve">Question  – </w:t>
            </w:r>
            <w:r w:rsidR="00C321D7" w:rsidRPr="00C321D7">
              <w:rPr>
                <w:rFonts w:cs="Arial"/>
                <w:szCs w:val="21"/>
              </w:rPr>
              <w:t xml:space="preserve"> Do you consider that Ireland should take the option to allow for one or more specific items of information, otherwise required to be disclosed to be temporarily omitted from the report, when their disclosure would be seriously prejudicial to the commercial position of the undertakings to which it relates? </w:t>
            </w:r>
          </w:p>
          <w:p w14:paraId="044F4568" w14:textId="77777777" w:rsidR="0041411B" w:rsidRDefault="00C321D7" w:rsidP="00221890">
            <w:pPr>
              <w:spacing w:line="240" w:lineRule="auto"/>
              <w:jc w:val="both"/>
              <w:rPr>
                <w:rFonts w:cs="Arial"/>
                <w:szCs w:val="21"/>
              </w:rPr>
            </w:pPr>
            <w:r w:rsidRPr="00C321D7">
              <w:rPr>
                <w:rFonts w:cs="Arial"/>
                <w:szCs w:val="21"/>
              </w:rPr>
              <w:t xml:space="preserve">Please give reasons for your preference. </w:t>
            </w:r>
          </w:p>
          <w:p w14:paraId="0A44A8F2" w14:textId="77777777" w:rsidR="00C321D7" w:rsidRDefault="00C321D7" w:rsidP="00C321D7">
            <w:pPr>
              <w:spacing w:line="240" w:lineRule="auto"/>
              <w:rPr>
                <w:rFonts w:cs="Arial"/>
                <w:szCs w:val="21"/>
              </w:rPr>
            </w:pPr>
          </w:p>
          <w:p w14:paraId="4E398ED8" w14:textId="70265981" w:rsidR="00C321D7" w:rsidRPr="00207301" w:rsidRDefault="00C321D7" w:rsidP="00C321D7">
            <w:pPr>
              <w:spacing w:line="240" w:lineRule="auto"/>
              <w:rPr>
                <w:rFonts w:cs="Arial"/>
                <w:szCs w:val="21"/>
              </w:rPr>
            </w:pPr>
          </w:p>
        </w:tc>
      </w:tr>
      <w:tr w:rsidR="0041411B" w:rsidRPr="00207301" w14:paraId="2699A5FB" w14:textId="77777777" w:rsidTr="00DA21DA">
        <w:tc>
          <w:tcPr>
            <w:tcW w:w="9464" w:type="dxa"/>
          </w:tcPr>
          <w:p w14:paraId="1BA6B846" w14:textId="77777777" w:rsidR="0041411B" w:rsidRDefault="0041411B" w:rsidP="0041411B">
            <w:pPr>
              <w:pStyle w:val="Normal2Column"/>
              <w:rPr>
                <w:rFonts w:cs="Arial"/>
                <w:b/>
                <w:bCs/>
                <w:szCs w:val="21"/>
              </w:rPr>
            </w:pPr>
            <w:r w:rsidRPr="00207301">
              <w:rPr>
                <w:rFonts w:cs="Arial"/>
                <w:szCs w:val="21"/>
              </w:rPr>
              <w:t xml:space="preserve">Article 48d (3) – </w:t>
            </w:r>
            <w:r w:rsidRPr="00207301">
              <w:rPr>
                <w:rFonts w:cs="Arial"/>
                <w:b/>
                <w:bCs/>
                <w:szCs w:val="21"/>
              </w:rPr>
              <w:t>Publication and accessibility</w:t>
            </w:r>
          </w:p>
          <w:p w14:paraId="18CF2605" w14:textId="7E9AA19C" w:rsidR="0041411B" w:rsidRDefault="0041411B" w:rsidP="00221890">
            <w:pPr>
              <w:pStyle w:val="Default"/>
              <w:jc w:val="both"/>
              <w:rPr>
                <w:rFonts w:ascii="Arial" w:hAnsi="Arial" w:cs="Arial"/>
                <w:i/>
                <w:iCs/>
                <w:sz w:val="21"/>
                <w:szCs w:val="21"/>
              </w:rPr>
            </w:pPr>
            <w:r w:rsidRPr="0041411B">
              <w:rPr>
                <w:rFonts w:ascii="Arial" w:hAnsi="Arial" w:cs="Arial"/>
                <w:i/>
                <w:iCs/>
                <w:sz w:val="21"/>
                <w:szCs w:val="21"/>
              </w:rPr>
              <w:t>Member States may exempt undertakings from applying the rules set out in paragraph 2 of this Article where the report on income tax information published in accordance with paragraph 1 of this Article is simultaneously made accessible to the public in an electronic reporting format which is machine-readable, on the website of the register referred to in Article 16 of Directive (EU) 2017/1132, and free of charge to any third party located within the Union. The website of the undertakings and branches, as referred to in paragraph 2 of this Article, shall contain information on that exemption and a reference to the website of the relevant register.</w:t>
            </w:r>
          </w:p>
          <w:p w14:paraId="0D36CDB1" w14:textId="77777777" w:rsidR="0041411B" w:rsidRDefault="0041411B" w:rsidP="00221890">
            <w:pPr>
              <w:pStyle w:val="Default"/>
              <w:jc w:val="both"/>
              <w:rPr>
                <w:rFonts w:ascii="Arial" w:hAnsi="Arial" w:cs="Arial"/>
                <w:i/>
                <w:iCs/>
                <w:sz w:val="21"/>
                <w:szCs w:val="21"/>
              </w:rPr>
            </w:pPr>
          </w:p>
          <w:p w14:paraId="23F2B1E1" w14:textId="77777777" w:rsidR="00C321D7" w:rsidRPr="00C321D7" w:rsidRDefault="0041411B" w:rsidP="00221890">
            <w:pPr>
              <w:spacing w:line="240" w:lineRule="auto"/>
              <w:jc w:val="both"/>
              <w:rPr>
                <w:rFonts w:cs="Arial"/>
                <w:szCs w:val="21"/>
              </w:rPr>
            </w:pPr>
            <w:r w:rsidRPr="00207301">
              <w:rPr>
                <w:rFonts w:cs="Arial"/>
                <w:szCs w:val="21"/>
              </w:rPr>
              <w:t xml:space="preserve">Question – </w:t>
            </w:r>
            <w:r w:rsidR="00C321D7" w:rsidRPr="00C321D7">
              <w:rPr>
                <w:rFonts w:cs="Arial"/>
                <w:szCs w:val="21"/>
              </w:rPr>
              <w:t xml:space="preserve">Do you consider that Ireland should take the option to exempt undertakings from the publishing requirement, where the report is simultaneously made accessible to the public on the website of the CRO and free of charge to any third party located in the European Union? </w:t>
            </w:r>
          </w:p>
          <w:p w14:paraId="2BE851F3" w14:textId="77777777" w:rsidR="0041411B" w:rsidRDefault="00C321D7" w:rsidP="00221890">
            <w:pPr>
              <w:spacing w:line="240" w:lineRule="auto"/>
              <w:jc w:val="both"/>
              <w:rPr>
                <w:rFonts w:cs="Arial"/>
                <w:szCs w:val="21"/>
              </w:rPr>
            </w:pPr>
            <w:r w:rsidRPr="00C321D7">
              <w:rPr>
                <w:rFonts w:cs="Arial"/>
                <w:szCs w:val="21"/>
              </w:rPr>
              <w:t xml:space="preserve">Please give reasons for your preference. </w:t>
            </w:r>
          </w:p>
          <w:p w14:paraId="34A32758" w14:textId="77777777" w:rsidR="00C321D7" w:rsidRDefault="00C321D7" w:rsidP="00C321D7">
            <w:pPr>
              <w:spacing w:line="240" w:lineRule="auto"/>
              <w:rPr>
                <w:rFonts w:cs="Arial"/>
                <w:szCs w:val="21"/>
              </w:rPr>
            </w:pPr>
          </w:p>
          <w:p w14:paraId="4E016557" w14:textId="0A9C98EB" w:rsidR="00C321D7" w:rsidRPr="00207301" w:rsidRDefault="00C321D7" w:rsidP="00C321D7">
            <w:pPr>
              <w:spacing w:line="240" w:lineRule="auto"/>
              <w:rPr>
                <w:rFonts w:cs="Arial"/>
                <w:szCs w:val="21"/>
              </w:rPr>
            </w:pPr>
          </w:p>
        </w:tc>
      </w:tr>
      <w:tr w:rsidR="00E4031D" w:rsidRPr="00207301" w14:paraId="64ADA275" w14:textId="77777777" w:rsidTr="00DA21DA">
        <w:tc>
          <w:tcPr>
            <w:tcW w:w="9464" w:type="dxa"/>
          </w:tcPr>
          <w:p w14:paraId="27B5E8DF" w14:textId="5B99A10A" w:rsidR="00E4031D" w:rsidRPr="00E4031D" w:rsidRDefault="00E4031D" w:rsidP="0041411B">
            <w:pPr>
              <w:pStyle w:val="Normal2Column"/>
              <w:rPr>
                <w:rFonts w:cs="Arial"/>
                <w:b/>
                <w:bCs/>
                <w:szCs w:val="21"/>
              </w:rPr>
            </w:pPr>
            <w:r w:rsidRPr="00E4031D">
              <w:rPr>
                <w:rFonts w:cs="Arial"/>
                <w:b/>
                <w:bCs/>
                <w:szCs w:val="21"/>
              </w:rPr>
              <w:t>Please indicate any general comments you may have</w:t>
            </w:r>
            <w:r>
              <w:rPr>
                <w:rFonts w:cs="Arial"/>
                <w:b/>
                <w:bCs/>
                <w:szCs w:val="21"/>
              </w:rPr>
              <w:t>.</w:t>
            </w:r>
          </w:p>
          <w:p w14:paraId="6A913FFA" w14:textId="77777777" w:rsidR="00E4031D" w:rsidRPr="00E4031D" w:rsidRDefault="00E4031D" w:rsidP="0041411B">
            <w:pPr>
              <w:pStyle w:val="Normal2Column"/>
              <w:rPr>
                <w:rFonts w:cs="Arial"/>
                <w:b/>
                <w:bCs/>
                <w:szCs w:val="21"/>
              </w:rPr>
            </w:pPr>
          </w:p>
          <w:p w14:paraId="620210B4" w14:textId="77777777" w:rsidR="00E4031D" w:rsidRPr="00E4031D" w:rsidRDefault="00E4031D" w:rsidP="0041411B">
            <w:pPr>
              <w:pStyle w:val="Normal2Column"/>
              <w:rPr>
                <w:rFonts w:cs="Arial"/>
                <w:b/>
                <w:bCs/>
                <w:szCs w:val="21"/>
              </w:rPr>
            </w:pPr>
          </w:p>
          <w:p w14:paraId="4F3912F8" w14:textId="722928BE" w:rsidR="00E4031D" w:rsidRDefault="00E4031D" w:rsidP="0041411B">
            <w:pPr>
              <w:pStyle w:val="Normal2Column"/>
              <w:rPr>
                <w:rFonts w:cs="Arial"/>
                <w:b/>
                <w:bCs/>
                <w:szCs w:val="21"/>
              </w:rPr>
            </w:pPr>
          </w:p>
          <w:p w14:paraId="300CEFB2" w14:textId="7B543E13" w:rsidR="00C321D7" w:rsidRDefault="00C321D7" w:rsidP="0041411B">
            <w:pPr>
              <w:pStyle w:val="Normal2Column"/>
              <w:rPr>
                <w:rFonts w:cs="Arial"/>
                <w:b/>
                <w:bCs/>
                <w:szCs w:val="21"/>
              </w:rPr>
            </w:pPr>
          </w:p>
          <w:p w14:paraId="0FC070A2" w14:textId="0447BD62" w:rsidR="00E4031D" w:rsidRPr="00E4031D" w:rsidRDefault="00E4031D" w:rsidP="0041411B">
            <w:pPr>
              <w:pStyle w:val="Normal2Column"/>
              <w:rPr>
                <w:rFonts w:cs="Arial"/>
                <w:b/>
                <w:bCs/>
                <w:szCs w:val="21"/>
              </w:rPr>
            </w:pPr>
          </w:p>
        </w:tc>
      </w:tr>
    </w:tbl>
    <w:p w14:paraId="752574E8" w14:textId="2B09A9FF" w:rsidR="00155EA5" w:rsidRPr="00207301" w:rsidRDefault="00155EA5" w:rsidP="00207301">
      <w:pPr>
        <w:tabs>
          <w:tab w:val="clear" w:pos="454"/>
          <w:tab w:val="clear" w:pos="907"/>
          <w:tab w:val="clear" w:pos="1361"/>
          <w:tab w:val="clear" w:pos="1814"/>
          <w:tab w:val="clear" w:pos="2268"/>
        </w:tabs>
        <w:spacing w:after="200" w:line="312" w:lineRule="auto"/>
        <w:rPr>
          <w:rFonts w:cs="Arial"/>
          <w:szCs w:val="21"/>
          <w:lang w:val="en-GB" w:eastAsia="en-GB"/>
        </w:rPr>
      </w:pPr>
    </w:p>
    <w:sectPr w:rsidR="00155EA5" w:rsidRPr="00207301" w:rsidSect="0041411B">
      <w:footerReference w:type="even" r:id="rId14"/>
      <w:footerReference w:type="default" r:id="rId15"/>
      <w:headerReference w:type="first" r:id="rId16"/>
      <w:footerReference w:type="first" r:id="rId17"/>
      <w:pgSz w:w="11907" w:h="16839" w:code="9"/>
      <w:pgMar w:top="1560" w:right="1134" w:bottom="1418" w:left="2155"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6AA7" w14:textId="77777777" w:rsidR="005C1FB7" w:rsidRDefault="005C1FB7">
      <w:pPr>
        <w:spacing w:after="0" w:line="240" w:lineRule="auto"/>
      </w:pPr>
      <w:r>
        <w:separator/>
      </w:r>
    </w:p>
    <w:p w14:paraId="35004237" w14:textId="77777777" w:rsidR="005C1FB7" w:rsidRDefault="005C1FB7"/>
  </w:endnote>
  <w:endnote w:type="continuationSeparator" w:id="0">
    <w:p w14:paraId="1C4D9812" w14:textId="77777777" w:rsidR="005C1FB7" w:rsidRDefault="005C1FB7">
      <w:pPr>
        <w:spacing w:after="0" w:line="240" w:lineRule="auto"/>
      </w:pPr>
      <w:r>
        <w:continuationSeparator/>
      </w:r>
    </w:p>
    <w:p w14:paraId="67CFB0BF" w14:textId="77777777" w:rsidR="005C1FB7" w:rsidRDefault="005C1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3E82" w14:textId="77777777"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0CEE8D" w14:textId="77777777" w:rsidR="007C593D" w:rsidRDefault="007C593D" w:rsidP="005B5C2B">
    <w:pPr>
      <w:pStyle w:val="Footer"/>
      <w:ind w:firstLine="360"/>
      <w:rPr>
        <w:rStyle w:val="PageNumber"/>
      </w:rPr>
    </w:pPr>
  </w:p>
  <w:p w14:paraId="5A284B39" w14:textId="77777777" w:rsidR="00292BE0" w:rsidRDefault="00292BE0" w:rsidP="00335CDC">
    <w:pPr>
      <w:pStyle w:val="Footer"/>
    </w:pPr>
  </w:p>
  <w:p w14:paraId="56DAA5CB" w14:textId="77777777" w:rsidR="008419D0" w:rsidRDefault="008419D0"/>
  <w:p w14:paraId="1D173FA7"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336C" w14:textId="77777777" w:rsidR="005B5C2B" w:rsidRPr="005B5C2B" w:rsidRDefault="005B5C2B" w:rsidP="006F7247">
    <w:pPr>
      <w:pStyle w:val="Footer"/>
      <w:framePr w:wrap="none" w:vAnchor="text" w:hAnchor="margin" w:y="366"/>
      <w:spacing w:line="60" w:lineRule="exact"/>
      <w:rPr>
        <w:rStyle w:val="PageNumber"/>
        <w:spacing w:val="-40"/>
      </w:rPr>
    </w:pPr>
    <w:r w:rsidRPr="005B5C2B">
      <w:rPr>
        <w:rStyle w:val="PageNumber"/>
        <w:spacing w:val="-40"/>
      </w:rPr>
      <w:t>——</w:t>
    </w:r>
  </w:p>
  <w:p w14:paraId="1EFA6511" w14:textId="77777777" w:rsidR="005B5C2B" w:rsidRDefault="005B5C2B"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786D3A">
      <w:rPr>
        <w:rStyle w:val="PageNumber"/>
        <w:noProof/>
      </w:rPr>
      <w:t>2</w:t>
    </w:r>
    <w:r>
      <w:rPr>
        <w:rStyle w:val="PageNumber"/>
      </w:rPr>
      <w:fldChar w:fldCharType="end"/>
    </w:r>
  </w:p>
  <w:p w14:paraId="070404D0" w14:textId="77777777" w:rsidR="005B5C2B" w:rsidRDefault="005B5C2B" w:rsidP="005B5C2B">
    <w:pPr>
      <w:pStyle w:val="Footer"/>
    </w:pPr>
  </w:p>
  <w:p w14:paraId="4039458D" w14:textId="77777777" w:rsidR="00512F7A" w:rsidRDefault="00512F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B46" w14:textId="77777777" w:rsidR="005C1FB7" w:rsidRDefault="005C1FB7" w:rsidP="00CB1F2A">
    <w:pPr>
      <w:pStyle w:val="EndorsementText"/>
    </w:pPr>
    <w:r>
      <w:t>Department of Enterprise, Trade and Employment</w:t>
    </w:r>
  </w:p>
  <w:p w14:paraId="6C948BFE" w14:textId="2282241A" w:rsidR="00D76841" w:rsidRPr="00D76841" w:rsidRDefault="005C1FB7" w:rsidP="00CB1F2A">
    <w:pPr>
      <w:pStyle w:val="EndorsementText"/>
    </w:pPr>
    <w: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F01B" w14:textId="77777777" w:rsidR="005C1FB7" w:rsidRDefault="005C1FB7">
      <w:pPr>
        <w:spacing w:after="0" w:line="240" w:lineRule="auto"/>
      </w:pPr>
      <w:r>
        <w:separator/>
      </w:r>
    </w:p>
    <w:p w14:paraId="6A9A1412" w14:textId="77777777" w:rsidR="005C1FB7" w:rsidRDefault="005C1FB7"/>
  </w:footnote>
  <w:footnote w:type="continuationSeparator" w:id="0">
    <w:p w14:paraId="23DE6A82" w14:textId="77777777" w:rsidR="005C1FB7" w:rsidRDefault="005C1FB7">
      <w:pPr>
        <w:spacing w:after="0" w:line="240" w:lineRule="auto"/>
      </w:pPr>
      <w:r>
        <w:continuationSeparator/>
      </w:r>
    </w:p>
    <w:p w14:paraId="26A8C396" w14:textId="77777777" w:rsidR="005C1FB7" w:rsidRDefault="005C1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AD68" w14:textId="005F4D9C" w:rsidR="005B5C2B" w:rsidRDefault="00CD2C2B" w:rsidP="00CD2C2B">
    <w:pPr>
      <w:pStyle w:val="Header"/>
      <w:ind w:left="-1276"/>
    </w:pPr>
    <w:r w:rsidRPr="00167BB0">
      <w:rPr>
        <w:rFonts w:cs="Arial"/>
        <w:noProof/>
        <w:color w:val="292B2C"/>
        <w:sz w:val="32"/>
        <w:szCs w:val="32"/>
      </w:rPr>
      <w:drawing>
        <wp:inline distT="0" distB="0" distL="0" distR="0" wp14:anchorId="6BBCDCC0" wp14:editId="2F3E4F64">
          <wp:extent cx="2721427" cy="1000125"/>
          <wp:effectExtent l="0" t="0" r="3175" b="0"/>
          <wp:docPr id="23" name="Picture 2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r w:rsidR="00EB580B">
      <w:rPr>
        <w:noProof/>
        <w:lang w:val="en-IE" w:eastAsia="en-IE"/>
      </w:rPr>
      <w:drawing>
        <wp:anchor distT="0" distB="0" distL="114300" distR="114300" simplePos="0" relativeHeight="251660287" behindDoc="1" locked="0" layoutInCell="1" allowOverlap="1" wp14:anchorId="5376903C" wp14:editId="693A3A5A">
          <wp:simplePos x="0" y="0"/>
          <wp:positionH relativeFrom="column">
            <wp:posOffset>-1368243</wp:posOffset>
          </wp:positionH>
          <wp:positionV relativeFrom="paragraph">
            <wp:posOffset>-442595</wp:posOffset>
          </wp:positionV>
          <wp:extent cx="7554685" cy="10685961"/>
          <wp:effectExtent l="0" t="0" r="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816E0F"/>
    <w:multiLevelType w:val="hybridMultilevel"/>
    <w:tmpl w:val="2736C6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13"/>
  </w:num>
  <w:num w:numId="4">
    <w:abstractNumId w:val="9"/>
  </w:num>
  <w:num w:numId="5">
    <w:abstractNumId w:val="24"/>
  </w:num>
  <w:num w:numId="6">
    <w:abstractNumId w:val="23"/>
  </w:num>
  <w:num w:numId="7">
    <w:abstractNumId w:val="1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26"/>
  </w:num>
  <w:num w:numId="18">
    <w:abstractNumId w:val="22"/>
  </w:num>
  <w:num w:numId="19">
    <w:abstractNumId w:val="16"/>
  </w:num>
  <w:num w:numId="20">
    <w:abstractNumId w:val="18"/>
  </w:num>
  <w:num w:numId="21">
    <w:abstractNumId w:val="20"/>
  </w:num>
  <w:num w:numId="22">
    <w:abstractNumId w:val="17"/>
  </w:num>
  <w:num w:numId="23">
    <w:abstractNumId w:val="25"/>
  </w:num>
  <w:num w:numId="24">
    <w:abstractNumId w:val="21"/>
  </w:num>
  <w:num w:numId="25">
    <w:abstractNumId w:val="14"/>
  </w:num>
  <w:num w:numId="26">
    <w:abstractNumId w:val="12"/>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B7"/>
    <w:rsid w:val="00020D56"/>
    <w:rsid w:val="0004703E"/>
    <w:rsid w:val="00055582"/>
    <w:rsid w:val="00055D56"/>
    <w:rsid w:val="00071437"/>
    <w:rsid w:val="0007277B"/>
    <w:rsid w:val="000730A8"/>
    <w:rsid w:val="00082BFF"/>
    <w:rsid w:val="00091C7C"/>
    <w:rsid w:val="000A3ED1"/>
    <w:rsid w:val="000A7C49"/>
    <w:rsid w:val="000C19D9"/>
    <w:rsid w:val="000D2F9D"/>
    <w:rsid w:val="000E31A9"/>
    <w:rsid w:val="000F30F1"/>
    <w:rsid w:val="00113CCE"/>
    <w:rsid w:val="001209F5"/>
    <w:rsid w:val="00153A7A"/>
    <w:rsid w:val="00155EA5"/>
    <w:rsid w:val="00157141"/>
    <w:rsid w:val="0018789F"/>
    <w:rsid w:val="00190C07"/>
    <w:rsid w:val="0019665B"/>
    <w:rsid w:val="001A0C21"/>
    <w:rsid w:val="001A6E6E"/>
    <w:rsid w:val="001F68DC"/>
    <w:rsid w:val="001F7660"/>
    <w:rsid w:val="00207301"/>
    <w:rsid w:val="00221890"/>
    <w:rsid w:val="00231D54"/>
    <w:rsid w:val="00232738"/>
    <w:rsid w:val="00233A39"/>
    <w:rsid w:val="00254130"/>
    <w:rsid w:val="002749D2"/>
    <w:rsid w:val="00282EB9"/>
    <w:rsid w:val="00292BE0"/>
    <w:rsid w:val="0029602E"/>
    <w:rsid w:val="002B2482"/>
    <w:rsid w:val="002C35A3"/>
    <w:rsid w:val="00302DC8"/>
    <w:rsid w:val="00316B56"/>
    <w:rsid w:val="00321993"/>
    <w:rsid w:val="00325BB9"/>
    <w:rsid w:val="00327982"/>
    <w:rsid w:val="00335CDC"/>
    <w:rsid w:val="00347316"/>
    <w:rsid w:val="0036294A"/>
    <w:rsid w:val="00366FE8"/>
    <w:rsid w:val="003B18B9"/>
    <w:rsid w:val="003C0C08"/>
    <w:rsid w:val="003C4865"/>
    <w:rsid w:val="003D4D1B"/>
    <w:rsid w:val="003F5C7D"/>
    <w:rsid w:val="00412C36"/>
    <w:rsid w:val="0041411B"/>
    <w:rsid w:val="0042545D"/>
    <w:rsid w:val="00441DC0"/>
    <w:rsid w:val="00462B4A"/>
    <w:rsid w:val="00463FFC"/>
    <w:rsid w:val="00476B67"/>
    <w:rsid w:val="004B3274"/>
    <w:rsid w:val="004D13E8"/>
    <w:rsid w:val="004E161F"/>
    <w:rsid w:val="004E2954"/>
    <w:rsid w:val="004E6E0F"/>
    <w:rsid w:val="004E7C39"/>
    <w:rsid w:val="00512F7A"/>
    <w:rsid w:val="005135F4"/>
    <w:rsid w:val="00516B47"/>
    <w:rsid w:val="00524387"/>
    <w:rsid w:val="00530695"/>
    <w:rsid w:val="00560EB9"/>
    <w:rsid w:val="00565E81"/>
    <w:rsid w:val="0056763D"/>
    <w:rsid w:val="005716FC"/>
    <w:rsid w:val="0057650B"/>
    <w:rsid w:val="005B5C2B"/>
    <w:rsid w:val="005C1FB7"/>
    <w:rsid w:val="005D190E"/>
    <w:rsid w:val="005D4389"/>
    <w:rsid w:val="005F2CA4"/>
    <w:rsid w:val="005F42BA"/>
    <w:rsid w:val="005F4F2F"/>
    <w:rsid w:val="0060182D"/>
    <w:rsid w:val="00604EA8"/>
    <w:rsid w:val="00610A48"/>
    <w:rsid w:val="00610BEB"/>
    <w:rsid w:val="00616252"/>
    <w:rsid w:val="00625FA2"/>
    <w:rsid w:val="00633161"/>
    <w:rsid w:val="006350F8"/>
    <w:rsid w:val="00637F7A"/>
    <w:rsid w:val="00640490"/>
    <w:rsid w:val="006623DF"/>
    <w:rsid w:val="00671372"/>
    <w:rsid w:val="0068370F"/>
    <w:rsid w:val="00692F85"/>
    <w:rsid w:val="00695986"/>
    <w:rsid w:val="00697276"/>
    <w:rsid w:val="006A60C3"/>
    <w:rsid w:val="006B7B8D"/>
    <w:rsid w:val="006D40F3"/>
    <w:rsid w:val="006D4EC3"/>
    <w:rsid w:val="006D6D2A"/>
    <w:rsid w:val="006E04B6"/>
    <w:rsid w:val="006F7247"/>
    <w:rsid w:val="007102CD"/>
    <w:rsid w:val="007120BA"/>
    <w:rsid w:val="007147ED"/>
    <w:rsid w:val="00715636"/>
    <w:rsid w:val="00720D69"/>
    <w:rsid w:val="00722A88"/>
    <w:rsid w:val="00733690"/>
    <w:rsid w:val="007475AF"/>
    <w:rsid w:val="007511ED"/>
    <w:rsid w:val="007518C0"/>
    <w:rsid w:val="00755210"/>
    <w:rsid w:val="00760F79"/>
    <w:rsid w:val="00770327"/>
    <w:rsid w:val="00777D29"/>
    <w:rsid w:val="00786D3A"/>
    <w:rsid w:val="00795AE3"/>
    <w:rsid w:val="007B30B0"/>
    <w:rsid w:val="007B4902"/>
    <w:rsid w:val="007C593D"/>
    <w:rsid w:val="007D79C4"/>
    <w:rsid w:val="007F7506"/>
    <w:rsid w:val="00800CF7"/>
    <w:rsid w:val="00804D93"/>
    <w:rsid w:val="00805866"/>
    <w:rsid w:val="00807FB7"/>
    <w:rsid w:val="0081457E"/>
    <w:rsid w:val="00815DEC"/>
    <w:rsid w:val="00817CC8"/>
    <w:rsid w:val="008213FA"/>
    <w:rsid w:val="008246D7"/>
    <w:rsid w:val="00824791"/>
    <w:rsid w:val="00824BE2"/>
    <w:rsid w:val="008419D0"/>
    <w:rsid w:val="00842475"/>
    <w:rsid w:val="00844232"/>
    <w:rsid w:val="00857E68"/>
    <w:rsid w:val="00865251"/>
    <w:rsid w:val="008839C4"/>
    <w:rsid w:val="008A1D07"/>
    <w:rsid w:val="008B351A"/>
    <w:rsid w:val="008B6CF3"/>
    <w:rsid w:val="008C2F83"/>
    <w:rsid w:val="008E70E2"/>
    <w:rsid w:val="008E7FA1"/>
    <w:rsid w:val="00907242"/>
    <w:rsid w:val="0093635A"/>
    <w:rsid w:val="009633DA"/>
    <w:rsid w:val="00971026"/>
    <w:rsid w:val="009F6661"/>
    <w:rsid w:val="00A02EE0"/>
    <w:rsid w:val="00A12C40"/>
    <w:rsid w:val="00A12CA1"/>
    <w:rsid w:val="00A14235"/>
    <w:rsid w:val="00A178D0"/>
    <w:rsid w:val="00A230DA"/>
    <w:rsid w:val="00A35E5C"/>
    <w:rsid w:val="00A453DB"/>
    <w:rsid w:val="00A53BC0"/>
    <w:rsid w:val="00A828DD"/>
    <w:rsid w:val="00A947BF"/>
    <w:rsid w:val="00AA2D17"/>
    <w:rsid w:val="00AB373E"/>
    <w:rsid w:val="00AC7726"/>
    <w:rsid w:val="00AE1F61"/>
    <w:rsid w:val="00B00B5C"/>
    <w:rsid w:val="00B1244F"/>
    <w:rsid w:val="00B51B5B"/>
    <w:rsid w:val="00B64DDE"/>
    <w:rsid w:val="00B814F5"/>
    <w:rsid w:val="00B91108"/>
    <w:rsid w:val="00BB0528"/>
    <w:rsid w:val="00BB716C"/>
    <w:rsid w:val="00BC61D0"/>
    <w:rsid w:val="00BD3C05"/>
    <w:rsid w:val="00BE3212"/>
    <w:rsid w:val="00BF7F98"/>
    <w:rsid w:val="00C321D7"/>
    <w:rsid w:val="00C40560"/>
    <w:rsid w:val="00C564BF"/>
    <w:rsid w:val="00C6191F"/>
    <w:rsid w:val="00C61F8C"/>
    <w:rsid w:val="00C63757"/>
    <w:rsid w:val="00C82220"/>
    <w:rsid w:val="00C84838"/>
    <w:rsid w:val="00C93711"/>
    <w:rsid w:val="00C9455B"/>
    <w:rsid w:val="00CA2F34"/>
    <w:rsid w:val="00CB1F2A"/>
    <w:rsid w:val="00CB49D9"/>
    <w:rsid w:val="00CB616D"/>
    <w:rsid w:val="00CB7D2E"/>
    <w:rsid w:val="00CC31D6"/>
    <w:rsid w:val="00CD2C2B"/>
    <w:rsid w:val="00CE72C8"/>
    <w:rsid w:val="00D2039F"/>
    <w:rsid w:val="00D20786"/>
    <w:rsid w:val="00D52F93"/>
    <w:rsid w:val="00D76841"/>
    <w:rsid w:val="00DA21DA"/>
    <w:rsid w:val="00DB1B9D"/>
    <w:rsid w:val="00E0201A"/>
    <w:rsid w:val="00E115E1"/>
    <w:rsid w:val="00E14392"/>
    <w:rsid w:val="00E23E1A"/>
    <w:rsid w:val="00E26789"/>
    <w:rsid w:val="00E4031D"/>
    <w:rsid w:val="00E41CA4"/>
    <w:rsid w:val="00E571AC"/>
    <w:rsid w:val="00E71B3B"/>
    <w:rsid w:val="00E84684"/>
    <w:rsid w:val="00E94117"/>
    <w:rsid w:val="00EA5124"/>
    <w:rsid w:val="00EA5AE3"/>
    <w:rsid w:val="00EB580B"/>
    <w:rsid w:val="00EC4DDA"/>
    <w:rsid w:val="00EC7894"/>
    <w:rsid w:val="00F153CE"/>
    <w:rsid w:val="00F36445"/>
    <w:rsid w:val="00F45D39"/>
    <w:rsid w:val="00F80428"/>
    <w:rsid w:val="00F94CB4"/>
    <w:rsid w:val="00F969E0"/>
    <w:rsid w:val="00FA1F89"/>
    <w:rsid w:val="00FB1C79"/>
    <w:rsid w:val="00FC3B6A"/>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6362"/>
  <w15:chartTrackingRefBased/>
  <w15:docId w15:val="{F998E9ED-E408-49F5-87E6-AD924E41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ListParagraph">
    <w:name w:val="List Paragraph"/>
    <w:basedOn w:val="Normal"/>
    <w:uiPriority w:val="34"/>
    <w:qFormat/>
    <w:rsid w:val="005C1FB7"/>
    <w:pPr>
      <w:ind w:left="720"/>
      <w:contextualSpacing/>
    </w:pPr>
  </w:style>
  <w:style w:type="character" w:styleId="UnresolvedMention">
    <w:name w:val="Unresolved Mention"/>
    <w:basedOn w:val="DefaultParagraphFont"/>
    <w:uiPriority w:val="99"/>
    <w:semiHidden/>
    <w:unhideWhenUsed/>
    <w:rsid w:val="005C1FB7"/>
    <w:rPr>
      <w:color w:val="605E5C"/>
      <w:shd w:val="clear" w:color="auto" w:fill="E1DFDD"/>
    </w:rPr>
  </w:style>
  <w:style w:type="paragraph" w:customStyle="1" w:styleId="Default">
    <w:name w:val="Default"/>
    <w:rsid w:val="0041411B"/>
    <w:pPr>
      <w:autoSpaceDE w:val="0"/>
      <w:autoSpaceDN w:val="0"/>
      <w:adjustRightInd w:val="0"/>
      <w:spacing w:after="0" w:line="240" w:lineRule="auto"/>
    </w:pPr>
    <w:rPr>
      <w:rFonts w:ascii="EUAlbertina" w:hAnsi="EUAlbertina" w:cs="EUAlbertina"/>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954143375">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93040301">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5725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mpanylawconsultation@enterprise.gov.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e\dfs\DeploymentSource\Office2016Templates\DETE%20Report%20Template%20State%20Green.dotx" TargetMode="External"/></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2E0BBC2D61EA584EB26E0831EFA58832" ma:contentTypeVersion="11" ma:contentTypeDescription="Create a new document for eDocs" ma:contentTypeScope="" ma:versionID="d2d98f84d085d750d2e278936feda726">
  <xsd:schema xmlns:xsd="http://www.w3.org/2001/XMLSchema" xmlns:xs="http://www.w3.org/2001/XMLSchema" xmlns:p="http://schemas.microsoft.com/office/2006/metadata/properties" xmlns:ns1="http://schemas.microsoft.com/sharepoint/v3" xmlns:ns2="b680c844-d3fb-417f-8163-e4e1c3b2bbc2" xmlns:ns3="1e108339-2bc6-481a-957c-1afccf5104d9" targetNamespace="http://schemas.microsoft.com/office/2006/metadata/properties" ma:root="true" ma:fieldsID="8bd797e1262ddc27f4a7bd564ecbfc32" ns1:_="" ns2:_="" ns3:_="">
    <xsd:import namespace="http://schemas.microsoft.com/sharepoint/v3"/>
    <xsd:import namespace="b680c844-d3fb-417f-8163-e4e1c3b2bbc2"/>
    <xsd:import namespace="1e108339-2bc6-481a-957c-1afccf5104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680c844-d3fb-417f-8163-e4e1c3b2bbc2"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108339-2bc6-481a-957c-1afccf5104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6972a2-890c-427a-814e-863e8e8bbd2d}" ma:internalName="TaxCatchAll" ma:showField="CatchAllData" ma:web="1e108339-2bc6-481a-957c-1afccf510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eDocs_FileTopicsTaxHTField0 xmlns="b680c844-d3fb-417f-8163-e4e1c3b2bbc2">
      <Terms xmlns="http://schemas.microsoft.com/office/infopath/2007/PartnerControls">
        <TermInfo xmlns="http://schemas.microsoft.com/office/infopath/2007/PartnerControls">
          <TermName xmlns="http://schemas.microsoft.com/office/infopath/2007/PartnerControls">EU</TermName>
          <TermId xmlns="http://schemas.microsoft.com/office/infopath/2007/PartnerControls">6aca8364-75f5-4ac2-964e-eb6b180d0dbf</TermId>
        </TermInfo>
        <TermInfo xmlns="http://schemas.microsoft.com/office/infopath/2007/PartnerControls">
          <TermName xmlns="http://schemas.microsoft.com/office/infopath/2007/PartnerControls">Directive</TermName>
          <TermId xmlns="http://schemas.microsoft.com/office/infopath/2007/PartnerControls">c04c02fa-1b50-43c4-b860-4f2050c4ea2c</TermId>
        </TermInfo>
      </Terms>
    </eDocs_FileTopicsTaxHTField0>
    <eDocs_YearTaxHTField0 xmlns="b680c844-d3fb-417f-8163-e4e1c3b2bbc2">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eDocs_YearTaxHTField0>
    <eDocs_DocumentTopicsTaxHTField0 xmlns="b680c844-d3fb-417f-8163-e4e1c3b2bbc2">
      <Terms xmlns="http://schemas.microsoft.com/office/infopath/2007/PartnerControls"/>
    </eDocs_DocumentTopicsTaxHTField0>
    <eDocs_FileStatus xmlns="http://schemas.microsoft.com/sharepoint/v3">Live</eDocs_FileStatus>
    <TaxCatchAll xmlns="1e108339-2bc6-481a-957c-1afccf5104d9">
      <Value>6</Value>
      <Value>5</Value>
      <Value>4</Value>
      <Value>3</Value>
    </TaxCatchAll>
    <eDocs_SeriesSubSeriesTaxHTField0 xmlns="b680c844-d3fb-417f-8163-e4e1c3b2bbc2">
      <Terms xmlns="http://schemas.microsoft.com/office/infopath/2007/PartnerControls">
        <TermInfo xmlns="http://schemas.microsoft.com/office/infopath/2007/PartnerControls">
          <TermName xmlns="http://schemas.microsoft.com/office/infopath/2007/PartnerControls">330</TermName>
          <TermId xmlns="http://schemas.microsoft.com/office/infopath/2007/PartnerControls">a011a2bc-7389-4b63-8b55-eb2d563779e5</TermId>
        </TermInfo>
      </Terms>
    </eDocs_SeriesSubSeriesTaxHTField0>
    <eDocs_FileName xmlns="http://schemas.microsoft.com/sharepoint/v3">ENT330-003-2021</eDocs_FileName>
    <_dlc_ExpireDateSaved xmlns="http://schemas.microsoft.com/sharepoint/v3" xsi:nil="true"/>
    <_dlc_ExpireDate xmlns="http://schemas.microsoft.com/sharepoint/v3">2022-03-10T13:24:34+00:00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aee8c2b-021a-4a0c-beb0-905538fb2eb8">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804AC8A-0AEB-4045-807C-47CAC022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0c844-d3fb-417f-8163-e4e1c3b2bbc2"/>
    <ds:schemaRef ds:uri="1e108339-2bc6-481a-957c-1afccf51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BFC01-B655-465B-9325-E636E90C35B6}">
  <ds:schemaRefs>
    <ds:schemaRef ds:uri="http://schemas.openxmlformats.org/officeDocument/2006/bibliography"/>
  </ds:schemaRefs>
</ds:datastoreItem>
</file>

<file path=customXml/itemProps3.xml><?xml version="1.0" encoding="utf-8"?>
<ds:datastoreItem xmlns:ds="http://schemas.openxmlformats.org/officeDocument/2006/customXml" ds:itemID="{CA3A26B8-1151-4E10-B87E-4A849D1CC4E3}">
  <ds:schemaRefs>
    <ds:schemaRef ds:uri="http://schemas.openxmlformats.org/package/2006/metadata/core-properties"/>
    <ds:schemaRef ds:uri="b680c844-d3fb-417f-8163-e4e1c3b2bbc2"/>
    <ds:schemaRef ds:uri="http://schemas.microsoft.com/office/2006/documentManagement/types"/>
    <ds:schemaRef ds:uri="http://schemas.microsoft.com/office/infopath/2007/PartnerControls"/>
    <ds:schemaRef ds:uri="http://purl.org/dc/elements/1.1/"/>
    <ds:schemaRef ds:uri="http://schemas.microsoft.com/office/2006/metadata/properties"/>
    <ds:schemaRef ds:uri="1e108339-2bc6-481a-957c-1afccf5104d9"/>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658C692-A2AC-4C5B-AE7C-A781FEE1E89C}">
  <ds:schemaRefs>
    <ds:schemaRef ds:uri="http://schemas.microsoft.com/sharepoint/v3/contenttype/forms"/>
  </ds:schemaRefs>
</ds:datastoreItem>
</file>

<file path=customXml/itemProps5.xml><?xml version="1.0" encoding="utf-8"?>
<ds:datastoreItem xmlns:ds="http://schemas.openxmlformats.org/officeDocument/2006/customXml" ds:itemID="{D5B0DE39-D5CD-4B0F-90CE-AC33D87EB5A3}">
  <ds:schemaRefs>
    <ds:schemaRef ds:uri="office.server.policy"/>
  </ds:schemaRefs>
</ds:datastoreItem>
</file>

<file path=customXml/itemProps6.xml><?xml version="1.0" encoding="utf-8"?>
<ds:datastoreItem xmlns:ds="http://schemas.openxmlformats.org/officeDocument/2006/customXml" ds:itemID="{D61236E5-2B30-42AC-AF03-A2561DD8A7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DETE Report Template State Green</Template>
  <TotalTime>71</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Colgan</dc:creator>
  <cp:keywords/>
  <dc:description/>
  <cp:lastModifiedBy>Kay Colgan</cp:lastModifiedBy>
  <cp:revision>15</cp:revision>
  <cp:lastPrinted>2018-10-03T08:52:00Z</cp:lastPrinted>
  <dcterms:created xsi:type="dcterms:W3CDTF">2021-12-02T16:16:00Z</dcterms:created>
  <dcterms:modified xsi:type="dcterms:W3CDTF">2021-12-10T13:24:00Z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0x0101000BC94875665D404BB1351B53C41FD2C0002E0BBC2D61EA584EB26E0831EFA58832</vt:lpwstr>
  </property>
  <property fmtid="{D5CDD505-2E9C-101B-9397-08002B2CF9AE}" pid="4" name="eDocs_Year">
    <vt:lpwstr>4;#2021|a64395a4-af33-4797-8677-16ff10df57b2</vt:lpwstr>
  </property>
  <property fmtid="{D5CDD505-2E9C-101B-9397-08002B2CF9AE}" pid="5" name="eDocs_SeriesSubSeries">
    <vt:lpwstr>5;#330|a011a2bc-7389-4b63-8b55-eb2d563779e5</vt:lpwstr>
  </property>
  <property fmtid="{D5CDD505-2E9C-101B-9397-08002B2CF9AE}" pid="6" name="eDocs_FileTopics">
    <vt:lpwstr>3;#EU|6aca8364-75f5-4ac2-964e-eb6b180d0dbf;#6;#Directive|c04c02fa-1b50-43c4-b860-4f2050c4ea2c</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